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92" w:rsidRPr="00C72158" w:rsidRDefault="00B87D92" w:rsidP="00B87D92">
      <w:pPr>
        <w:widowControl/>
        <w:pBdr>
          <w:bottom w:val="dotted" w:sz="6" w:space="2" w:color="CCCCCC"/>
        </w:pBdr>
        <w:shd w:val="clear" w:color="auto" w:fill="FFFFFF"/>
        <w:spacing w:after="150" w:line="240" w:lineRule="atLeast"/>
        <w:outlineLvl w:val="1"/>
        <w:rPr>
          <w:rFonts w:ascii="Times New Roman" w:eastAsia="標楷體" w:hAnsi="Times New Roman" w:cs="Times New Roman"/>
          <w:b/>
          <w:bCs/>
          <w:color w:val="000000"/>
          <w:kern w:val="0"/>
          <w:szCs w:val="24"/>
        </w:rPr>
      </w:pPr>
      <w:r w:rsidRPr="00C72158">
        <w:rPr>
          <w:rFonts w:ascii="Times New Roman" w:eastAsia="標楷體" w:hAnsi="Times New Roman" w:cs="Times New Roman"/>
          <w:b/>
          <w:bCs/>
          <w:color w:val="000000"/>
          <w:kern w:val="0"/>
          <w:szCs w:val="24"/>
        </w:rPr>
        <w:t>Application Procedure</w:t>
      </w:r>
    </w:p>
    <w:p w:rsidR="00B87D92" w:rsidRPr="00C72158" w:rsidRDefault="00B87D92" w:rsidP="00B87D92">
      <w:pPr>
        <w:widowControl/>
        <w:shd w:val="clear" w:color="auto" w:fill="FFFFFF"/>
        <w:spacing w:line="367" w:lineRule="atLeast"/>
        <w:rPr>
          <w:rFonts w:ascii="Times New Roman" w:eastAsia="標楷體" w:hAnsi="Times New Roman" w:cs="Times New Roman"/>
          <w:color w:val="333333"/>
          <w:kern w:val="0"/>
          <w:szCs w:val="24"/>
        </w:rPr>
      </w:pPr>
      <w:r w:rsidRPr="00C72158">
        <w:rPr>
          <w:rFonts w:ascii="Times New Roman" w:eastAsia="標楷體" w:hAnsi="Times New Roman" w:cs="Times New Roman"/>
          <w:color w:val="333333"/>
          <w:kern w:val="0"/>
          <w:szCs w:val="24"/>
        </w:rPr>
        <w:t>The annual application period runs, in principle, from January 1 to March 15. </w:t>
      </w:r>
      <w:r w:rsidRPr="00C72158">
        <w:rPr>
          <w:rFonts w:ascii="Times New Roman" w:eastAsia="標楷體" w:hAnsi="Times New Roman" w:cs="Times New Roman"/>
          <w:color w:val="FF0000"/>
          <w:kern w:val="0"/>
          <w:szCs w:val="24"/>
          <w:bdr w:val="none" w:sz="0" w:space="0" w:color="auto" w:frame="1"/>
        </w:rPr>
        <w:t>For 202</w:t>
      </w:r>
      <w:r w:rsidR="00010583" w:rsidRPr="00C72158">
        <w:rPr>
          <w:rFonts w:ascii="Times New Roman" w:eastAsia="標楷體" w:hAnsi="Times New Roman" w:cs="Times New Roman"/>
          <w:color w:val="FF0000"/>
          <w:kern w:val="0"/>
          <w:szCs w:val="24"/>
          <w:bdr w:val="none" w:sz="0" w:space="0" w:color="auto" w:frame="1"/>
        </w:rPr>
        <w:t>3</w:t>
      </w:r>
      <w:r w:rsidRPr="00C72158">
        <w:rPr>
          <w:rFonts w:ascii="Times New Roman" w:eastAsia="標楷體" w:hAnsi="Times New Roman" w:cs="Times New Roman"/>
          <w:color w:val="FF0000"/>
          <w:kern w:val="0"/>
          <w:szCs w:val="24"/>
          <w:bdr w:val="none" w:sz="0" w:space="0" w:color="auto" w:frame="1"/>
        </w:rPr>
        <w:t xml:space="preserve"> Scholarship program, the application period runs from January 1 to March 15, 202</w:t>
      </w:r>
      <w:r w:rsidR="00010583" w:rsidRPr="00C72158">
        <w:rPr>
          <w:rFonts w:ascii="Times New Roman" w:eastAsia="標楷體" w:hAnsi="Times New Roman" w:cs="Times New Roman"/>
          <w:color w:val="FF0000"/>
          <w:kern w:val="0"/>
          <w:szCs w:val="24"/>
          <w:bdr w:val="none" w:sz="0" w:space="0" w:color="auto" w:frame="1"/>
        </w:rPr>
        <w:t>3</w:t>
      </w:r>
      <w:r w:rsidRPr="00C72158">
        <w:rPr>
          <w:rFonts w:ascii="Times New Roman" w:eastAsia="標楷體" w:hAnsi="Times New Roman" w:cs="Times New Roman"/>
          <w:color w:val="FF0000"/>
          <w:kern w:val="0"/>
          <w:szCs w:val="24"/>
          <w:bdr w:val="none" w:sz="0" w:space="0" w:color="auto" w:frame="1"/>
        </w:rPr>
        <w:t>.</w:t>
      </w:r>
      <w:r w:rsidR="00C72158" w:rsidRPr="00C72158">
        <w:rPr>
          <w:rFonts w:ascii="Times New Roman" w:eastAsia="標楷體" w:hAnsi="Times New Roman" w:cs="Times New Roman"/>
          <w:color w:val="FF0000"/>
          <w:kern w:val="0"/>
          <w:szCs w:val="24"/>
          <w:bdr w:val="none" w:sz="0" w:space="0" w:color="auto" w:frame="1"/>
        </w:rPr>
        <w:t xml:space="preserve"> </w:t>
      </w:r>
      <w:r w:rsidR="00C72158" w:rsidRPr="00C72158">
        <w:rPr>
          <w:rFonts w:ascii="Times New Roman" w:eastAsia="標楷體" w:hAnsi="Times New Roman" w:cs="Times New Roman"/>
          <w:color w:val="FF0000"/>
          <w:kern w:val="0"/>
          <w:szCs w:val="24"/>
          <w:bdr w:val="none" w:sz="0" w:space="0" w:color="auto" w:frame="1"/>
          <w:lang w:eastAsia="zh-CN"/>
        </w:rPr>
        <w:t>（</w:t>
      </w:r>
      <w:hyperlink r:id="rId5" w:history="1">
        <w:r w:rsidR="00C72158" w:rsidRPr="00C72158">
          <w:rPr>
            <w:rStyle w:val="a6"/>
            <w:rFonts w:ascii="Times New Roman" w:eastAsia="標楷體" w:hAnsi="Times New Roman" w:cs="Times New Roman"/>
            <w:color w:val="333333"/>
            <w:kern w:val="0"/>
            <w:szCs w:val="24"/>
          </w:rPr>
          <w:t>https://web.icdf.org.tw/ICDF_TSP/WelcomeStart.asp</w:t>
        </w:r>
      </w:hyperlink>
      <w:r w:rsidR="00C72158" w:rsidRPr="00C72158">
        <w:rPr>
          <w:rFonts w:ascii="Times New Roman" w:eastAsia="標楷體" w:hAnsi="Times New Roman" w:cs="Times New Roman"/>
          <w:color w:val="FF0000"/>
          <w:kern w:val="0"/>
          <w:szCs w:val="24"/>
          <w:bdr w:val="none" w:sz="0" w:space="0" w:color="auto" w:frame="1"/>
          <w:lang w:eastAsia="zh-CN"/>
        </w:rPr>
        <w:t>）</w:t>
      </w:r>
      <w:r w:rsidRPr="00C72158">
        <w:rPr>
          <w:rFonts w:ascii="Times New Roman" w:eastAsia="標楷體" w:hAnsi="Times New Roman" w:cs="Times New Roman"/>
          <w:color w:val="FF0000"/>
          <w:kern w:val="0"/>
          <w:szCs w:val="24"/>
          <w:bdr w:val="none" w:sz="0" w:space="0" w:color="auto" w:frame="1"/>
        </w:rPr>
        <w:br/>
      </w:r>
      <w:r w:rsidRPr="00C72158">
        <w:rPr>
          <w:rFonts w:ascii="Times New Roman" w:eastAsia="標楷體" w:hAnsi="Times New Roman" w:cs="Times New Roman"/>
          <w:color w:val="333333"/>
          <w:kern w:val="0"/>
          <w:szCs w:val="24"/>
        </w:rPr>
        <w:t>Applicants should submit the documents listed below to the ROC (Taiwan) Embassy/ Consulate General/ Representative Office in their country. Applicants must ensure that they submit accurate and complete documentation; failure to do so will result in the application not being processed.</w:t>
      </w:r>
      <w:r w:rsidRPr="00C72158">
        <w:rPr>
          <w:rFonts w:ascii="Times New Roman" w:eastAsia="標楷體" w:hAnsi="Times New Roman" w:cs="Times New Roman"/>
          <w:color w:val="333333"/>
          <w:kern w:val="0"/>
          <w:szCs w:val="24"/>
        </w:rPr>
        <w:br/>
      </w:r>
      <w:r w:rsidRPr="00C72158">
        <w:rPr>
          <w:rFonts w:ascii="Times New Roman" w:eastAsia="標楷體" w:hAnsi="Times New Roman" w:cs="Times New Roman"/>
          <w:color w:val="333333"/>
          <w:kern w:val="0"/>
          <w:szCs w:val="24"/>
        </w:rPr>
        <w:br/>
      </w:r>
      <w:r w:rsidRPr="00C72158">
        <w:rPr>
          <w:rFonts w:ascii="Times New Roman" w:eastAsia="標楷體" w:hAnsi="Times New Roman" w:cs="Times New Roman"/>
          <w:b/>
          <w:bCs/>
          <w:color w:val="000099"/>
          <w:kern w:val="0"/>
          <w:szCs w:val="24"/>
          <w:bdr w:val="none" w:sz="0" w:space="0" w:color="auto" w:frame="1"/>
        </w:rPr>
        <w:t>Please also note: 1. Late submissions will not be accepted and/or processed. 2. All Undergraduate Programs only accept applications submitted by citizens of allied countries of ROC(Taiwan).</w:t>
      </w:r>
    </w:p>
    <w:p w:rsidR="00B87D92" w:rsidRPr="00C72158" w:rsidRDefault="00B87D92" w:rsidP="00B87D92">
      <w:pPr>
        <w:widowControl/>
        <w:numPr>
          <w:ilvl w:val="0"/>
          <w:numId w:val="1"/>
        </w:numPr>
        <w:shd w:val="clear" w:color="auto" w:fill="FFFFFF"/>
        <w:spacing w:line="300" w:lineRule="atLeast"/>
        <w:ind w:left="450"/>
        <w:rPr>
          <w:rFonts w:ascii="Times New Roman" w:eastAsia="標楷體" w:hAnsi="Times New Roman" w:cs="Times New Roman"/>
          <w:color w:val="000000"/>
          <w:kern w:val="0"/>
          <w:szCs w:val="24"/>
        </w:rPr>
      </w:pPr>
      <w:r w:rsidRPr="00C72158">
        <w:rPr>
          <w:rFonts w:ascii="Times New Roman" w:eastAsia="標楷體" w:hAnsi="Times New Roman" w:cs="Times New Roman"/>
          <w:b/>
          <w:bCs/>
          <w:color w:val="000000"/>
          <w:kern w:val="0"/>
          <w:szCs w:val="24"/>
          <w:bdr w:val="none" w:sz="0" w:space="0" w:color="auto" w:frame="1"/>
        </w:rPr>
        <w:t>A photocopy of applicant’s passport or other document showing proof of nationality.</w:t>
      </w:r>
    </w:p>
    <w:p w:rsidR="00B87D92" w:rsidRPr="00C72158" w:rsidRDefault="00B87D92" w:rsidP="00B87D92">
      <w:pPr>
        <w:widowControl/>
        <w:numPr>
          <w:ilvl w:val="0"/>
          <w:numId w:val="1"/>
        </w:numPr>
        <w:shd w:val="clear" w:color="auto" w:fill="FFFFFF"/>
        <w:spacing w:line="300" w:lineRule="atLeast"/>
        <w:ind w:left="450"/>
        <w:rPr>
          <w:rFonts w:ascii="Times New Roman" w:eastAsia="標楷體" w:hAnsi="Times New Roman" w:cs="Times New Roman"/>
          <w:color w:val="000000"/>
          <w:kern w:val="0"/>
          <w:szCs w:val="24"/>
        </w:rPr>
      </w:pPr>
      <w:r w:rsidRPr="00C72158">
        <w:rPr>
          <w:rFonts w:ascii="Times New Roman" w:eastAsia="標楷體" w:hAnsi="Times New Roman" w:cs="Times New Roman"/>
          <w:b/>
          <w:bCs/>
          <w:color w:val="000000"/>
          <w:kern w:val="0"/>
          <w:szCs w:val="24"/>
          <w:bdr w:val="none" w:sz="0" w:space="0" w:color="auto" w:frame="1"/>
        </w:rPr>
        <w:t>A photocopy of applicant’s highest-level diploma and academic transcripts.</w:t>
      </w:r>
    </w:p>
    <w:p w:rsidR="00B87D92" w:rsidRPr="00C72158" w:rsidRDefault="00B87D92" w:rsidP="00B87D92">
      <w:pPr>
        <w:widowControl/>
        <w:numPr>
          <w:ilvl w:val="0"/>
          <w:numId w:val="1"/>
        </w:numPr>
        <w:shd w:val="clear" w:color="auto" w:fill="FFFFFF"/>
        <w:spacing w:line="300" w:lineRule="atLeast"/>
        <w:ind w:left="450"/>
        <w:rPr>
          <w:rFonts w:ascii="Times New Roman" w:eastAsia="標楷體" w:hAnsi="Times New Roman" w:cs="Times New Roman"/>
          <w:color w:val="000000"/>
          <w:kern w:val="0"/>
          <w:szCs w:val="24"/>
        </w:rPr>
      </w:pPr>
      <w:r w:rsidRPr="00C72158">
        <w:rPr>
          <w:rFonts w:ascii="Times New Roman" w:eastAsia="標楷體" w:hAnsi="Times New Roman" w:cs="Times New Roman"/>
          <w:b/>
          <w:bCs/>
          <w:color w:val="000000"/>
          <w:kern w:val="0"/>
          <w:szCs w:val="24"/>
          <w:bdr w:val="none" w:sz="0" w:space="0" w:color="auto" w:frame="1"/>
        </w:rPr>
        <w:t>A photocopy of applicant’s English proficiency certificate.</w:t>
      </w:r>
      <w:r w:rsidRPr="00C72158">
        <w:rPr>
          <w:rFonts w:ascii="Times New Roman" w:eastAsia="標楷體" w:hAnsi="Times New Roman" w:cs="Times New Roman"/>
          <w:color w:val="000000"/>
          <w:kern w:val="0"/>
          <w:szCs w:val="24"/>
        </w:rPr>
        <w:br/>
        <w:t>Please note: This means a TOEFL test score or that of another recognized English proficiency exam, or documents certifying that the applicant has graduated from a program where all courses were taught in English. Applicants who are unable to provide such proof of English proficiency due to special circumstances may be assessed for English proficiency by an ROC (Taiwan) Embassy/ Consulate General/ Representative Office via interview or other forms of testing. Applicants whose official national language is English are exempt from needing to supply these documents.</w:t>
      </w:r>
    </w:p>
    <w:p w:rsidR="00B87D92" w:rsidRPr="00C72158" w:rsidRDefault="00B87D92" w:rsidP="00B87D92">
      <w:pPr>
        <w:widowControl/>
        <w:numPr>
          <w:ilvl w:val="0"/>
          <w:numId w:val="1"/>
        </w:numPr>
        <w:shd w:val="clear" w:color="auto" w:fill="FFFFFF"/>
        <w:spacing w:line="300" w:lineRule="atLeast"/>
        <w:ind w:left="450"/>
        <w:rPr>
          <w:rFonts w:ascii="Times New Roman" w:eastAsia="標楷體" w:hAnsi="Times New Roman" w:cs="Times New Roman"/>
          <w:color w:val="000000"/>
          <w:kern w:val="0"/>
          <w:szCs w:val="24"/>
        </w:rPr>
      </w:pPr>
      <w:r w:rsidRPr="00C72158">
        <w:rPr>
          <w:rFonts w:ascii="Times New Roman" w:eastAsia="標楷體" w:hAnsi="Times New Roman" w:cs="Times New Roman"/>
          <w:b/>
          <w:bCs/>
          <w:color w:val="000000"/>
          <w:kern w:val="0"/>
          <w:szCs w:val="24"/>
          <w:bdr w:val="none" w:sz="0" w:space="0" w:color="auto" w:frame="1"/>
        </w:rPr>
        <w:t>Two letters of reference.</w:t>
      </w:r>
    </w:p>
    <w:p w:rsidR="00B87D92" w:rsidRPr="00C72158" w:rsidRDefault="00B87D92" w:rsidP="00B87D92">
      <w:pPr>
        <w:widowControl/>
        <w:numPr>
          <w:ilvl w:val="0"/>
          <w:numId w:val="1"/>
        </w:numPr>
        <w:shd w:val="clear" w:color="auto" w:fill="FFFFFF"/>
        <w:spacing w:line="300" w:lineRule="atLeast"/>
        <w:ind w:left="450"/>
        <w:rPr>
          <w:rFonts w:ascii="Times New Roman" w:eastAsia="標楷體" w:hAnsi="Times New Roman" w:cs="Times New Roman"/>
          <w:color w:val="000000"/>
          <w:kern w:val="0"/>
          <w:szCs w:val="24"/>
        </w:rPr>
      </w:pPr>
      <w:r w:rsidRPr="00C72158">
        <w:rPr>
          <w:rFonts w:ascii="Times New Roman" w:eastAsia="標楷體" w:hAnsi="Times New Roman" w:cs="Times New Roman"/>
          <w:b/>
          <w:bCs/>
          <w:color w:val="000000"/>
          <w:kern w:val="0"/>
          <w:szCs w:val="24"/>
          <w:bdr w:val="none" w:sz="0" w:space="0" w:color="auto" w:frame="1"/>
        </w:rPr>
        <w:t>Any other documents specifically requested by an ROC (Taiwan) Embassy/ Consulate General/ Representative Office.</w:t>
      </w:r>
    </w:p>
    <w:p w:rsidR="00B87D92" w:rsidRPr="00C72158" w:rsidRDefault="00B87D92" w:rsidP="00B87D92">
      <w:pPr>
        <w:widowControl/>
        <w:shd w:val="clear" w:color="auto" w:fill="FFFFFF"/>
        <w:spacing w:line="367" w:lineRule="atLeast"/>
        <w:rPr>
          <w:rFonts w:ascii="Times New Roman" w:eastAsia="標楷體" w:hAnsi="Times New Roman" w:cs="Times New Roman"/>
          <w:color w:val="333333"/>
          <w:kern w:val="0"/>
          <w:szCs w:val="24"/>
        </w:rPr>
      </w:pPr>
      <w:r w:rsidRPr="00C72158">
        <w:rPr>
          <w:rFonts w:ascii="Times New Roman" w:eastAsia="標楷體" w:hAnsi="Times New Roman" w:cs="Times New Roman"/>
          <w:color w:val="333333"/>
          <w:kern w:val="0"/>
          <w:szCs w:val="24"/>
        </w:rPr>
        <w:t>In addition to the above documents requested as part of their scholarship application, </w:t>
      </w:r>
      <w:r w:rsidRPr="00C72158">
        <w:rPr>
          <w:rFonts w:ascii="Times New Roman" w:eastAsia="標楷體" w:hAnsi="Times New Roman" w:cs="Times New Roman"/>
          <w:color w:val="000099"/>
          <w:kern w:val="0"/>
          <w:szCs w:val="24"/>
          <w:bdr w:val="none" w:sz="0" w:space="0" w:color="auto" w:frame="1"/>
        </w:rPr>
        <w:t xml:space="preserve">applicants should also submit all documents required by the </w:t>
      </w:r>
      <w:proofErr w:type="spellStart"/>
      <w:r w:rsidRPr="00C72158">
        <w:rPr>
          <w:rFonts w:ascii="Times New Roman" w:eastAsia="標楷體" w:hAnsi="Times New Roman" w:cs="Times New Roman"/>
          <w:color w:val="000099"/>
          <w:kern w:val="0"/>
          <w:szCs w:val="24"/>
          <w:bdr w:val="none" w:sz="0" w:space="0" w:color="auto" w:frame="1"/>
        </w:rPr>
        <w:t>TaiwanICDF</w:t>
      </w:r>
      <w:proofErr w:type="spellEnd"/>
      <w:r w:rsidRPr="00C72158">
        <w:rPr>
          <w:rFonts w:ascii="Times New Roman" w:eastAsia="標楷體" w:hAnsi="Times New Roman" w:cs="Times New Roman"/>
          <w:color w:val="000099"/>
          <w:kern w:val="0"/>
          <w:szCs w:val="24"/>
          <w:bdr w:val="none" w:sz="0" w:space="0" w:color="auto" w:frame="1"/>
        </w:rPr>
        <w:t xml:space="preserve"> partner university that they are applying to before the admissions deadline of that university.</w:t>
      </w:r>
      <w:r w:rsidRPr="00C72158">
        <w:rPr>
          <w:rFonts w:ascii="Times New Roman" w:eastAsia="標楷體" w:hAnsi="Times New Roman" w:cs="Times New Roman"/>
          <w:color w:val="333333"/>
          <w:kern w:val="0"/>
          <w:szCs w:val="24"/>
        </w:rPr>
        <w:t> For detailed information on such documents, please refer to the 202</w:t>
      </w:r>
      <w:r w:rsidR="00010583" w:rsidRPr="00C72158">
        <w:rPr>
          <w:rFonts w:ascii="Times New Roman" w:eastAsia="標楷體" w:hAnsi="Times New Roman" w:cs="Times New Roman"/>
          <w:color w:val="333333"/>
          <w:kern w:val="0"/>
          <w:szCs w:val="24"/>
        </w:rPr>
        <w:t>3</w:t>
      </w:r>
      <w:r w:rsidRPr="00C72158">
        <w:rPr>
          <w:rFonts w:ascii="Times New Roman" w:eastAsia="標楷體" w:hAnsi="Times New Roman" w:cs="Times New Roman"/>
          <w:color w:val="333333"/>
          <w:kern w:val="0"/>
          <w:szCs w:val="24"/>
        </w:rPr>
        <w:t xml:space="preserve"> </w:t>
      </w:r>
      <w:proofErr w:type="spellStart"/>
      <w:r w:rsidRPr="00C72158">
        <w:rPr>
          <w:rFonts w:ascii="Times New Roman" w:eastAsia="標楷體" w:hAnsi="Times New Roman" w:cs="Times New Roman"/>
          <w:color w:val="333333"/>
          <w:kern w:val="0"/>
          <w:szCs w:val="24"/>
        </w:rPr>
        <w:t>TaiwanICDF</w:t>
      </w:r>
      <w:proofErr w:type="spellEnd"/>
      <w:r w:rsidRPr="00C72158">
        <w:rPr>
          <w:rFonts w:ascii="Times New Roman" w:eastAsia="標楷體" w:hAnsi="Times New Roman" w:cs="Times New Roman"/>
          <w:color w:val="333333"/>
          <w:kern w:val="0"/>
          <w:szCs w:val="24"/>
        </w:rPr>
        <w:t xml:space="preserve"> International Higher Education Scholarship Program Information.</w:t>
      </w:r>
    </w:p>
    <w:p w:rsidR="00B87D92" w:rsidRPr="00C72158" w:rsidRDefault="00B87D92" w:rsidP="00B87D92">
      <w:pPr>
        <w:widowControl/>
        <w:shd w:val="clear" w:color="auto" w:fill="FFFFFF"/>
        <w:spacing w:after="225" w:line="367" w:lineRule="atLeast"/>
        <w:rPr>
          <w:rFonts w:ascii="Times New Roman" w:eastAsia="標楷體" w:hAnsi="Times New Roman" w:cs="Times New Roman"/>
          <w:color w:val="333333"/>
          <w:kern w:val="0"/>
          <w:szCs w:val="24"/>
        </w:rPr>
      </w:pPr>
      <w:r w:rsidRPr="00C72158">
        <w:rPr>
          <w:rFonts w:ascii="Times New Roman" w:eastAsia="標楷體" w:hAnsi="Times New Roman" w:cs="Times New Roman"/>
          <w:color w:val="333333"/>
          <w:kern w:val="0"/>
          <w:szCs w:val="24"/>
        </w:rPr>
        <w:t xml:space="preserve">The ROC (Taiwan) Embassy/ Consulate General/ Representative Office will conduct a first review of applicants based on the eligibility requirements and selection criteria of the </w:t>
      </w:r>
      <w:proofErr w:type="spellStart"/>
      <w:r w:rsidRPr="00C72158">
        <w:rPr>
          <w:rFonts w:ascii="Times New Roman" w:eastAsia="標楷體" w:hAnsi="Times New Roman" w:cs="Times New Roman"/>
          <w:color w:val="333333"/>
          <w:kern w:val="0"/>
          <w:szCs w:val="24"/>
        </w:rPr>
        <w:t>TaiwanICDF</w:t>
      </w:r>
      <w:proofErr w:type="spellEnd"/>
      <w:r w:rsidRPr="00C72158">
        <w:rPr>
          <w:rFonts w:ascii="Times New Roman" w:eastAsia="標楷體" w:hAnsi="Times New Roman" w:cs="Times New Roman"/>
          <w:color w:val="333333"/>
          <w:kern w:val="0"/>
          <w:szCs w:val="24"/>
        </w:rPr>
        <w:t xml:space="preserve">, and then submit their list of recommended applicants to the </w:t>
      </w:r>
      <w:proofErr w:type="spellStart"/>
      <w:r w:rsidRPr="00C72158">
        <w:rPr>
          <w:rFonts w:ascii="Times New Roman" w:eastAsia="標楷體" w:hAnsi="Times New Roman" w:cs="Times New Roman"/>
          <w:color w:val="333333"/>
          <w:kern w:val="0"/>
          <w:szCs w:val="24"/>
        </w:rPr>
        <w:t>TaiwanICDF</w:t>
      </w:r>
      <w:proofErr w:type="spellEnd"/>
      <w:r w:rsidRPr="00C72158">
        <w:rPr>
          <w:rFonts w:ascii="Times New Roman" w:eastAsia="標楷體" w:hAnsi="Times New Roman" w:cs="Times New Roman"/>
          <w:color w:val="333333"/>
          <w:kern w:val="0"/>
          <w:szCs w:val="24"/>
        </w:rPr>
        <w:t xml:space="preserve"> no later than March 31 each year.</w:t>
      </w:r>
    </w:p>
    <w:p w:rsidR="00B87D92" w:rsidRPr="00C72158" w:rsidRDefault="00B87D92" w:rsidP="00B87D92">
      <w:pPr>
        <w:widowControl/>
        <w:shd w:val="clear" w:color="auto" w:fill="FFFFFF"/>
        <w:spacing w:after="225" w:line="367" w:lineRule="atLeast"/>
        <w:rPr>
          <w:rFonts w:ascii="Times New Roman" w:eastAsia="標楷體" w:hAnsi="Times New Roman" w:cs="Times New Roman"/>
          <w:color w:val="333333"/>
          <w:kern w:val="0"/>
          <w:szCs w:val="24"/>
        </w:rPr>
      </w:pPr>
      <w:r w:rsidRPr="00C72158">
        <w:rPr>
          <w:rFonts w:ascii="Times New Roman" w:eastAsia="標楷體" w:hAnsi="Times New Roman" w:cs="Times New Roman"/>
          <w:color w:val="333333"/>
          <w:kern w:val="0"/>
          <w:szCs w:val="24"/>
        </w:rPr>
        <w:lastRenderedPageBreak/>
        <w:t xml:space="preserve">A second review of the qualified applicants will be conducted by an academic committee organized by the individual partner university in joint cooperation with </w:t>
      </w:r>
      <w:proofErr w:type="spellStart"/>
      <w:r w:rsidRPr="00C72158">
        <w:rPr>
          <w:rFonts w:ascii="Times New Roman" w:eastAsia="標楷體" w:hAnsi="Times New Roman" w:cs="Times New Roman"/>
          <w:color w:val="333333"/>
          <w:kern w:val="0"/>
          <w:szCs w:val="24"/>
        </w:rPr>
        <w:t>TaiwanICDF</w:t>
      </w:r>
      <w:proofErr w:type="spellEnd"/>
      <w:r w:rsidRPr="00C72158">
        <w:rPr>
          <w:rFonts w:ascii="Times New Roman" w:eastAsia="標楷體" w:hAnsi="Times New Roman" w:cs="Times New Roman"/>
          <w:color w:val="333333"/>
          <w:kern w:val="0"/>
          <w:szCs w:val="24"/>
        </w:rPr>
        <w:t xml:space="preserve"> representatives. Such reviews will be based on each university’s selection criteria, whilst also accounting for the eligibility requirements and selection criteria of the </w:t>
      </w:r>
      <w:proofErr w:type="spellStart"/>
      <w:r w:rsidRPr="00C72158">
        <w:rPr>
          <w:rFonts w:ascii="Times New Roman" w:eastAsia="標楷體" w:hAnsi="Times New Roman" w:cs="Times New Roman"/>
          <w:color w:val="333333"/>
          <w:kern w:val="0"/>
          <w:szCs w:val="24"/>
        </w:rPr>
        <w:t>TaiwanICDF</w:t>
      </w:r>
      <w:proofErr w:type="spellEnd"/>
      <w:r w:rsidRPr="00C72158">
        <w:rPr>
          <w:rFonts w:ascii="Times New Roman" w:eastAsia="標楷體" w:hAnsi="Times New Roman" w:cs="Times New Roman"/>
          <w:color w:val="333333"/>
          <w:kern w:val="0"/>
          <w:szCs w:val="24"/>
        </w:rPr>
        <w:t>.</w:t>
      </w:r>
    </w:p>
    <w:p w:rsidR="00B87D92" w:rsidRPr="00C72158" w:rsidRDefault="00B87D92" w:rsidP="00B87D92">
      <w:pPr>
        <w:widowControl/>
        <w:shd w:val="clear" w:color="auto" w:fill="FFFFFF"/>
        <w:spacing w:line="367" w:lineRule="atLeast"/>
        <w:rPr>
          <w:rFonts w:ascii="Times New Roman" w:eastAsia="標楷體" w:hAnsi="Times New Roman" w:cs="Times New Roman"/>
          <w:color w:val="333333"/>
          <w:kern w:val="0"/>
          <w:szCs w:val="24"/>
        </w:rPr>
      </w:pPr>
      <w:r w:rsidRPr="00C72158">
        <w:rPr>
          <w:rFonts w:ascii="Times New Roman" w:eastAsia="標楷體" w:hAnsi="Times New Roman" w:cs="Times New Roman"/>
          <w:color w:val="333333"/>
          <w:kern w:val="0"/>
          <w:szCs w:val="24"/>
        </w:rPr>
        <w:t xml:space="preserve">After the second review has been conducted in cooperation with all partner universities, the </w:t>
      </w:r>
      <w:proofErr w:type="spellStart"/>
      <w:r w:rsidRPr="00C72158">
        <w:rPr>
          <w:rFonts w:ascii="Times New Roman" w:eastAsia="標楷體" w:hAnsi="Times New Roman" w:cs="Times New Roman"/>
          <w:color w:val="333333"/>
          <w:kern w:val="0"/>
          <w:szCs w:val="24"/>
        </w:rPr>
        <w:t>TaiwanICDF</w:t>
      </w:r>
      <w:proofErr w:type="spellEnd"/>
      <w:r w:rsidRPr="00C72158">
        <w:rPr>
          <w:rFonts w:ascii="Times New Roman" w:eastAsia="標楷體" w:hAnsi="Times New Roman" w:cs="Times New Roman"/>
          <w:color w:val="333333"/>
          <w:kern w:val="0"/>
          <w:szCs w:val="24"/>
        </w:rPr>
        <w:t xml:space="preserve"> will announce its list of scholarship recipients, in principle, no later than June 10 each year. Successful applicants will receive an acceptance letter through the ROC (Taiwan) Embassy/ Consulate General/ Representative Office to whom they originally applied.</w:t>
      </w:r>
      <w:r w:rsidRPr="00C72158">
        <w:rPr>
          <w:rFonts w:ascii="Times New Roman" w:eastAsia="標楷體" w:hAnsi="Times New Roman" w:cs="Times New Roman"/>
          <w:color w:val="333333"/>
          <w:kern w:val="0"/>
          <w:szCs w:val="24"/>
        </w:rPr>
        <w:br/>
      </w:r>
      <w:r w:rsidRPr="00C72158">
        <w:rPr>
          <w:rFonts w:ascii="Times New Roman" w:eastAsia="標楷體" w:hAnsi="Times New Roman" w:cs="Times New Roman"/>
          <w:color w:val="333333"/>
          <w:kern w:val="0"/>
          <w:szCs w:val="24"/>
        </w:rPr>
        <w:br/>
      </w:r>
      <w:r w:rsidRPr="00C72158">
        <w:rPr>
          <w:rFonts w:ascii="Times New Roman" w:eastAsia="標楷體" w:hAnsi="Times New Roman" w:cs="Times New Roman"/>
          <w:b/>
          <w:bCs/>
          <w:color w:val="000099"/>
          <w:kern w:val="0"/>
          <w:szCs w:val="24"/>
          <w:bdr w:val="none" w:sz="0" w:space="0" w:color="auto" w:frame="1"/>
        </w:rPr>
        <w:t xml:space="preserve">Please note: Gaining admission from the university does not necessarily mean that the applicant has also been given a </w:t>
      </w:r>
      <w:proofErr w:type="spellStart"/>
      <w:r w:rsidRPr="00C72158">
        <w:rPr>
          <w:rFonts w:ascii="Times New Roman" w:eastAsia="標楷體" w:hAnsi="Times New Roman" w:cs="Times New Roman"/>
          <w:b/>
          <w:bCs/>
          <w:color w:val="000099"/>
          <w:kern w:val="0"/>
          <w:szCs w:val="24"/>
          <w:bdr w:val="none" w:sz="0" w:space="0" w:color="auto" w:frame="1"/>
        </w:rPr>
        <w:t>TaiwanICDF</w:t>
      </w:r>
      <w:proofErr w:type="spellEnd"/>
      <w:r w:rsidRPr="00C72158">
        <w:rPr>
          <w:rFonts w:ascii="Times New Roman" w:eastAsia="標楷體" w:hAnsi="Times New Roman" w:cs="Times New Roman"/>
          <w:b/>
          <w:bCs/>
          <w:color w:val="000099"/>
          <w:kern w:val="0"/>
          <w:szCs w:val="24"/>
          <w:bdr w:val="none" w:sz="0" w:space="0" w:color="auto" w:frame="1"/>
        </w:rPr>
        <w:t xml:space="preserve"> scholarship. Only the applicant who receives the acceptance letter issued by the </w:t>
      </w:r>
      <w:proofErr w:type="spellStart"/>
      <w:r w:rsidRPr="00C72158">
        <w:rPr>
          <w:rFonts w:ascii="Times New Roman" w:eastAsia="標楷體" w:hAnsi="Times New Roman" w:cs="Times New Roman"/>
          <w:b/>
          <w:bCs/>
          <w:color w:val="000099"/>
          <w:kern w:val="0"/>
          <w:szCs w:val="24"/>
          <w:bdr w:val="none" w:sz="0" w:space="0" w:color="auto" w:frame="1"/>
        </w:rPr>
        <w:t>TaiwanICDF</w:t>
      </w:r>
      <w:proofErr w:type="spellEnd"/>
      <w:r w:rsidRPr="00C72158">
        <w:rPr>
          <w:rFonts w:ascii="Times New Roman" w:eastAsia="標楷體" w:hAnsi="Times New Roman" w:cs="Times New Roman"/>
          <w:b/>
          <w:bCs/>
          <w:color w:val="000099"/>
          <w:kern w:val="0"/>
          <w:szCs w:val="24"/>
          <w:bdr w:val="none" w:sz="0" w:space="0" w:color="auto" w:frame="1"/>
        </w:rPr>
        <w:t xml:space="preserve"> is the scholarship recipient.</w:t>
      </w:r>
      <w:bookmarkStart w:id="0" w:name="_GoBack"/>
      <w:bookmarkEnd w:id="0"/>
    </w:p>
    <w:p w:rsidR="001E1829" w:rsidRPr="00C72158" w:rsidRDefault="001E1829">
      <w:pPr>
        <w:rPr>
          <w:rFonts w:ascii="Times New Roman" w:eastAsia="標楷體" w:hAnsi="Times New Roman" w:cs="Times New Roman"/>
          <w:szCs w:val="24"/>
        </w:rPr>
      </w:pPr>
    </w:p>
    <w:p w:rsidR="00C72158" w:rsidRPr="00C72158" w:rsidRDefault="00C72158">
      <w:pPr>
        <w:rPr>
          <w:rFonts w:ascii="Times New Roman" w:eastAsia="標楷體" w:hAnsi="Times New Roman" w:cs="Times New Roman"/>
          <w:color w:val="333333"/>
          <w:kern w:val="0"/>
          <w:szCs w:val="24"/>
        </w:rPr>
      </w:pPr>
      <w:r w:rsidRPr="00C72158">
        <w:rPr>
          <w:rFonts w:ascii="Times New Roman" w:eastAsia="標楷體" w:hAnsi="Times New Roman" w:cs="Times New Roman"/>
          <w:szCs w:val="24"/>
          <w:lang w:eastAsia="zh-CN"/>
        </w:rPr>
        <w:t xml:space="preserve">For More details on </w:t>
      </w:r>
      <w:hyperlink r:id="rId6" w:tgtFrame="_nwMof" w:history="1">
        <w:r w:rsidRPr="00C72158">
          <w:rPr>
            <w:rStyle w:val="a6"/>
            <w:rFonts w:ascii="Times New Roman" w:eastAsia="標楷體" w:hAnsi="Times New Roman" w:cs="Times New Roman"/>
            <w:color w:val="CC6600"/>
            <w:szCs w:val="24"/>
            <w:bdr w:val="none" w:sz="0" w:space="0" w:color="auto" w:frame="1"/>
          </w:rPr>
          <w:t>International Higher Education Scholarship Programs</w:t>
        </w:r>
      </w:hyperlink>
      <w:r w:rsidRPr="00C72158">
        <w:rPr>
          <w:rFonts w:ascii="Times New Roman" w:eastAsia="標楷體" w:hAnsi="Times New Roman" w:cs="Times New Roman"/>
          <w:kern w:val="0"/>
          <w:szCs w:val="24"/>
        </w:rPr>
        <w:t>:</w:t>
      </w:r>
    </w:p>
    <w:p w:rsidR="00C72158" w:rsidRPr="00C72158" w:rsidRDefault="00C72158">
      <w:pPr>
        <w:rPr>
          <w:rFonts w:ascii="Times New Roman" w:eastAsia="標楷體" w:hAnsi="Times New Roman" w:cs="Times New Roman"/>
          <w:szCs w:val="24"/>
        </w:rPr>
      </w:pPr>
      <w:r w:rsidRPr="00C72158">
        <w:rPr>
          <w:rFonts w:ascii="Times New Roman" w:eastAsia="標楷體" w:hAnsi="Times New Roman" w:cs="Times New Roman"/>
          <w:color w:val="333333"/>
          <w:kern w:val="0"/>
          <w:szCs w:val="24"/>
        </w:rPr>
        <w:t>(</w:t>
      </w:r>
      <w:hyperlink r:id="rId7" w:anchor="aC" w:tgtFrame="_blank" w:history="1">
        <w:r w:rsidRPr="00C72158">
          <w:rPr>
            <w:rStyle w:val="a6"/>
            <w:rFonts w:ascii="Times New Roman" w:eastAsia="標楷體" w:hAnsi="Times New Roman" w:cs="Times New Roman"/>
            <w:szCs w:val="24"/>
            <w:bdr w:val="none" w:sz="0" w:space="0" w:color="auto" w:frame="1"/>
          </w:rPr>
          <w:t>https://www.icdf.org.tw/wSite/np?ctNode=31561&amp;mp=2#aC</w:t>
        </w:r>
      </w:hyperlink>
      <w:r w:rsidRPr="00C72158">
        <w:rPr>
          <w:rFonts w:ascii="Times New Roman" w:eastAsia="標楷體" w:hAnsi="Times New Roman" w:cs="Times New Roman"/>
          <w:color w:val="333333"/>
          <w:kern w:val="0"/>
          <w:szCs w:val="24"/>
        </w:rPr>
        <w:t>)</w:t>
      </w:r>
    </w:p>
    <w:sectPr w:rsidR="00C72158" w:rsidRPr="00C7215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55EC4"/>
    <w:multiLevelType w:val="multilevel"/>
    <w:tmpl w:val="7960B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F2"/>
    <w:rsid w:val="00010583"/>
    <w:rsid w:val="001E1829"/>
    <w:rsid w:val="003F66F2"/>
    <w:rsid w:val="00B87D92"/>
    <w:rsid w:val="00C721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C74C"/>
  <w15:chartTrackingRefBased/>
  <w15:docId w15:val="{CF58E5BB-6FFC-4938-8019-B9394952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B87D92"/>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B87D92"/>
    <w:rPr>
      <w:rFonts w:ascii="新細明體" w:eastAsia="新細明體" w:hAnsi="新細明體" w:cs="新細明體"/>
      <w:b/>
      <w:bCs/>
      <w:kern w:val="0"/>
      <w:sz w:val="36"/>
      <w:szCs w:val="36"/>
    </w:rPr>
  </w:style>
  <w:style w:type="paragraph" w:styleId="Web">
    <w:name w:val="Normal (Web)"/>
    <w:basedOn w:val="a"/>
    <w:uiPriority w:val="99"/>
    <w:semiHidden/>
    <w:unhideWhenUsed/>
    <w:rsid w:val="00B87D92"/>
    <w:pPr>
      <w:widowControl/>
      <w:spacing w:before="100" w:beforeAutospacing="1" w:after="100" w:afterAutospacing="1"/>
    </w:pPr>
    <w:rPr>
      <w:rFonts w:ascii="新細明體" w:eastAsia="新細明體" w:hAnsi="新細明體" w:cs="新細明體"/>
      <w:kern w:val="0"/>
      <w:szCs w:val="24"/>
    </w:rPr>
  </w:style>
  <w:style w:type="character" w:customStyle="1" w:styleId="cuhtmleditcolorff0000">
    <w:name w:val="cuhtmleditcolorff0000"/>
    <w:basedOn w:val="a0"/>
    <w:rsid w:val="00B87D92"/>
  </w:style>
  <w:style w:type="character" w:customStyle="1" w:styleId="cuhtmleditcolor000099">
    <w:name w:val="cuhtmleditcolor000099"/>
    <w:basedOn w:val="a0"/>
    <w:rsid w:val="00B87D92"/>
  </w:style>
  <w:style w:type="character" w:styleId="a3">
    <w:name w:val="Strong"/>
    <w:basedOn w:val="a0"/>
    <w:uiPriority w:val="22"/>
    <w:qFormat/>
    <w:rsid w:val="00B87D92"/>
    <w:rPr>
      <w:b/>
      <w:bCs/>
    </w:rPr>
  </w:style>
  <w:style w:type="paragraph" w:styleId="a4">
    <w:name w:val="Balloon Text"/>
    <w:basedOn w:val="a"/>
    <w:link w:val="a5"/>
    <w:uiPriority w:val="99"/>
    <w:semiHidden/>
    <w:unhideWhenUsed/>
    <w:rsid w:val="00B87D9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87D92"/>
    <w:rPr>
      <w:rFonts w:asciiTheme="majorHAnsi" w:eastAsiaTheme="majorEastAsia" w:hAnsiTheme="majorHAnsi" w:cstheme="majorBidi"/>
      <w:sz w:val="18"/>
      <w:szCs w:val="18"/>
    </w:rPr>
  </w:style>
  <w:style w:type="character" w:styleId="a6">
    <w:name w:val="Hyperlink"/>
    <w:basedOn w:val="a0"/>
    <w:uiPriority w:val="99"/>
    <w:semiHidden/>
    <w:unhideWhenUsed/>
    <w:rsid w:val="00C72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6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df.org.tw/wSite/np?ctNode=31561&amp;mp=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df.org.tw/ct.asp?xItem=12505&amp;CtNode=30316&amp;mp=2" TargetMode="External"/><Relationship Id="rId5" Type="http://schemas.openxmlformats.org/officeDocument/2006/relationships/hyperlink" Target="https://web.icdf.org.tw/ICDF_TSP/WelcomeStar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cp:lastModifiedBy>
  <cp:revision>5</cp:revision>
  <cp:lastPrinted>2022-01-10T15:24:00Z</cp:lastPrinted>
  <dcterms:created xsi:type="dcterms:W3CDTF">2022-01-10T15:24:00Z</dcterms:created>
  <dcterms:modified xsi:type="dcterms:W3CDTF">2023-01-11T07:06:00Z</dcterms:modified>
</cp:coreProperties>
</file>